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56612" w:rsidRDefault="002E5720" w:rsidP="00056612">
      <w:pPr>
        <w:pStyle w:val="NoSpacing1"/>
        <w:rPr>
          <w:b/>
          <w:bCs/>
          <w:sz w:val="24"/>
          <w:szCs w:val="24"/>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s1028" type="#_x0000_t75" style="position:absolute;margin-left:0;margin-top:0;width:55.5pt;height:66.75pt;z-index:251658240;visibility:visible;mso-position-horizontal:left">
            <v:imagedata r:id="rId7" o:title=""/>
            <w10:wrap type="square"/>
          </v:shape>
          <o:OLEObject Type="Embed" ProgID="Word.Picture.8" ShapeID="Object 2" DrawAspect="Content" ObjectID="_1744632137" r:id="rId8"/>
        </w:object>
      </w:r>
      <w:r w:rsidR="00056612">
        <w:rPr>
          <w:rFonts w:ascii="Times New Roman" w:hAnsi="Times New Roman" w:cs="Times New Roman"/>
          <w:b/>
          <w:bCs/>
          <w:sz w:val="24"/>
          <w:szCs w:val="24"/>
        </w:rPr>
        <w:t>REPUBLIKA HRVATSKA</w:t>
      </w:r>
    </w:p>
    <w:p w:rsidR="00056612" w:rsidRDefault="00056612" w:rsidP="00056612">
      <w:pPr>
        <w:pStyle w:val="NoSpacing1"/>
        <w:jc w:val="both"/>
        <w:rPr>
          <w:rFonts w:ascii="Times New Roman" w:hAnsi="Times New Roman" w:cs="Times New Roman"/>
          <w:b/>
          <w:bCs/>
          <w:sz w:val="24"/>
          <w:szCs w:val="24"/>
        </w:rPr>
      </w:pPr>
      <w:r>
        <w:rPr>
          <w:rFonts w:ascii="Times New Roman" w:hAnsi="Times New Roman" w:cs="Times New Roman"/>
          <w:b/>
          <w:bCs/>
          <w:sz w:val="24"/>
          <w:szCs w:val="24"/>
        </w:rPr>
        <w:t>ISTARSKA ŽUPANIJA</w:t>
      </w:r>
    </w:p>
    <w:p w:rsidR="00056612" w:rsidRDefault="00056612" w:rsidP="00056612">
      <w:pPr>
        <w:pStyle w:val="NoSpacing1"/>
        <w:jc w:val="both"/>
        <w:rPr>
          <w:rFonts w:ascii="Times New Roman" w:hAnsi="Times New Roman" w:cs="Times New Roman"/>
          <w:b/>
          <w:bCs/>
          <w:sz w:val="24"/>
          <w:szCs w:val="24"/>
        </w:rPr>
      </w:pPr>
      <w:r>
        <w:rPr>
          <w:rFonts w:ascii="Times New Roman" w:hAnsi="Times New Roman" w:cs="Times New Roman"/>
          <w:b/>
          <w:bCs/>
          <w:sz w:val="24"/>
          <w:szCs w:val="24"/>
        </w:rPr>
        <w:t>OPĆINA LIŽNJAN-LISIGNANO</w:t>
      </w:r>
    </w:p>
    <w:p w:rsidR="00056612" w:rsidRDefault="00056612" w:rsidP="00056612">
      <w:pPr>
        <w:widowControl/>
        <w:tabs>
          <w:tab w:val="left" w:pos="5055"/>
        </w:tabs>
        <w:suppressAutoHyphens w:val="0"/>
        <w:jc w:val="both"/>
        <w:rPr>
          <w:b/>
          <w:bCs/>
          <w:sz w:val="24"/>
          <w:szCs w:val="24"/>
        </w:rPr>
      </w:pPr>
      <w:r>
        <w:rPr>
          <w:b/>
          <w:bCs/>
          <w:sz w:val="24"/>
          <w:szCs w:val="24"/>
        </w:rPr>
        <w:t>Načelnik</w:t>
      </w:r>
    </w:p>
    <w:p w:rsidR="00056612" w:rsidRDefault="00056612" w:rsidP="00056612">
      <w:pPr>
        <w:widowControl/>
        <w:suppressAutoHyphens w:val="0"/>
        <w:rPr>
          <w:b/>
          <w:bCs/>
          <w:kern w:val="0"/>
          <w:sz w:val="24"/>
          <w:szCs w:val="24"/>
        </w:rPr>
      </w:pPr>
    </w:p>
    <w:p w:rsidR="00056612" w:rsidRDefault="00056612" w:rsidP="00056612">
      <w:pPr>
        <w:widowControl/>
        <w:suppressAutoHyphens w:val="0"/>
      </w:pPr>
      <w:r>
        <w:rPr>
          <w:kern w:val="0"/>
          <w:sz w:val="24"/>
          <w:szCs w:val="24"/>
        </w:rPr>
        <w:t>KLASA:</w:t>
      </w:r>
      <w:r>
        <w:rPr>
          <w:sz w:val="24"/>
          <w:szCs w:val="24"/>
        </w:rPr>
        <w:t xml:space="preserve"> 400-08/23-01/02</w:t>
      </w:r>
    </w:p>
    <w:p w:rsidR="00056612" w:rsidRDefault="00056612" w:rsidP="00056612">
      <w:pPr>
        <w:widowControl/>
        <w:suppressAutoHyphens w:val="0"/>
      </w:pPr>
      <w:r>
        <w:rPr>
          <w:kern w:val="0"/>
          <w:sz w:val="24"/>
          <w:szCs w:val="24"/>
        </w:rPr>
        <w:t xml:space="preserve">URBROJ: </w:t>
      </w:r>
      <w:r>
        <w:rPr>
          <w:sz w:val="24"/>
          <w:szCs w:val="24"/>
        </w:rPr>
        <w:t>2163-24-05-23-3</w:t>
      </w:r>
    </w:p>
    <w:p w:rsidR="00056612" w:rsidRDefault="00056612" w:rsidP="00056612">
      <w:pPr>
        <w:widowControl/>
        <w:suppressAutoHyphens w:val="0"/>
      </w:pPr>
      <w:r>
        <w:rPr>
          <w:kern w:val="0"/>
          <w:sz w:val="24"/>
          <w:szCs w:val="24"/>
        </w:rPr>
        <w:t xml:space="preserve">Ližnjan, </w:t>
      </w:r>
      <w:r>
        <w:rPr>
          <w:sz w:val="24"/>
          <w:szCs w:val="24"/>
        </w:rPr>
        <w:t>3. svibnja 2023.</w:t>
      </w:r>
      <w:r>
        <w:rPr>
          <w:kern w:val="0"/>
          <w:sz w:val="24"/>
          <w:szCs w:val="24"/>
        </w:rPr>
        <w:t xml:space="preserve"> godine.</w:t>
      </w:r>
    </w:p>
    <w:p w:rsidR="00056612" w:rsidRDefault="00056612" w:rsidP="00056612">
      <w:pPr>
        <w:widowControl/>
        <w:suppressAutoHyphens w:val="0"/>
        <w:rPr>
          <w:i/>
          <w:iCs/>
          <w:kern w:val="0"/>
          <w:sz w:val="24"/>
          <w:szCs w:val="24"/>
        </w:rPr>
      </w:pPr>
    </w:p>
    <w:p w:rsidR="00056612" w:rsidRDefault="00056612" w:rsidP="00056612">
      <w:pPr>
        <w:autoSpaceDE w:val="0"/>
        <w:jc w:val="both"/>
        <w:rPr>
          <w:sz w:val="24"/>
          <w:szCs w:val="24"/>
        </w:rPr>
      </w:pPr>
      <w:r>
        <w:rPr>
          <w:sz w:val="24"/>
          <w:szCs w:val="24"/>
        </w:rPr>
        <w:t xml:space="preserve">Na temelju članka 14. Odluke o izvršenju proračuna Općine </w:t>
      </w:r>
      <w:proofErr w:type="spellStart"/>
      <w:r>
        <w:rPr>
          <w:sz w:val="24"/>
          <w:szCs w:val="24"/>
        </w:rPr>
        <w:t>Ližnjan-Lisignano</w:t>
      </w:r>
      <w:proofErr w:type="spellEnd"/>
      <w:r>
        <w:rPr>
          <w:sz w:val="24"/>
          <w:szCs w:val="24"/>
        </w:rPr>
        <w:t xml:space="preserve"> za 2023.g. (Sl. Novine Općine </w:t>
      </w:r>
      <w:proofErr w:type="spellStart"/>
      <w:r>
        <w:rPr>
          <w:sz w:val="24"/>
          <w:szCs w:val="24"/>
        </w:rPr>
        <w:t>Ližnjan-Lisignano</w:t>
      </w:r>
      <w:proofErr w:type="spellEnd"/>
      <w:r>
        <w:rPr>
          <w:sz w:val="24"/>
          <w:szCs w:val="24"/>
        </w:rPr>
        <w:t xml:space="preserve"> 11/22), članaka 60. Zakona o proračunu (Narodne novine RH br. 144/21 ) i članka 48. Statuta Općine Ližnjan (Službene novine Općine Ližnjan broj 02/21)  Načelnik Općine </w:t>
      </w:r>
      <w:proofErr w:type="spellStart"/>
      <w:r>
        <w:rPr>
          <w:sz w:val="24"/>
          <w:szCs w:val="24"/>
        </w:rPr>
        <w:t>Ližnjan-Lisignano</w:t>
      </w:r>
      <w:proofErr w:type="spellEnd"/>
      <w:r>
        <w:rPr>
          <w:sz w:val="24"/>
          <w:szCs w:val="24"/>
        </w:rPr>
        <w:t xml:space="preserve"> donosi</w:t>
      </w:r>
    </w:p>
    <w:p w:rsidR="00056612" w:rsidRDefault="00056612" w:rsidP="00056612">
      <w:pPr>
        <w:rPr>
          <w:rFonts w:eastAsia="Calibri"/>
          <w:sz w:val="24"/>
          <w:szCs w:val="24"/>
        </w:rPr>
      </w:pPr>
      <w:r>
        <w:rPr>
          <w:rFonts w:eastAsia="Calibri"/>
          <w:sz w:val="24"/>
          <w:szCs w:val="24"/>
        </w:rPr>
        <w:t xml:space="preserve"> </w:t>
      </w:r>
    </w:p>
    <w:p w:rsidR="00056612" w:rsidRDefault="00056612" w:rsidP="00056612">
      <w:pPr>
        <w:jc w:val="center"/>
        <w:rPr>
          <w:b/>
          <w:bCs/>
          <w:sz w:val="24"/>
          <w:szCs w:val="24"/>
        </w:rPr>
      </w:pPr>
      <w:r>
        <w:rPr>
          <w:b/>
          <w:bCs/>
          <w:sz w:val="24"/>
          <w:szCs w:val="24"/>
        </w:rPr>
        <w:t>ODLUKU</w:t>
      </w:r>
    </w:p>
    <w:p w:rsidR="00056612" w:rsidRDefault="00056612" w:rsidP="00056612">
      <w:pPr>
        <w:jc w:val="center"/>
      </w:pPr>
      <w:r>
        <w:rPr>
          <w:b/>
          <w:bCs/>
          <w:sz w:val="24"/>
          <w:szCs w:val="24"/>
        </w:rPr>
        <w:t xml:space="preserve">O  drugoj preraspodjeli sredstava planiranih u Proračunu Općine </w:t>
      </w:r>
      <w:proofErr w:type="spellStart"/>
      <w:r>
        <w:rPr>
          <w:b/>
          <w:bCs/>
          <w:sz w:val="24"/>
          <w:szCs w:val="24"/>
        </w:rPr>
        <w:t>Ližnjan-Lisignano</w:t>
      </w:r>
      <w:proofErr w:type="spellEnd"/>
      <w:r>
        <w:rPr>
          <w:b/>
          <w:bCs/>
          <w:sz w:val="24"/>
          <w:szCs w:val="24"/>
        </w:rPr>
        <w:t xml:space="preserve"> za 2023. godinu</w:t>
      </w:r>
    </w:p>
    <w:p w:rsidR="00056612" w:rsidRDefault="00056612" w:rsidP="00056612">
      <w:pPr>
        <w:rPr>
          <w:sz w:val="24"/>
          <w:szCs w:val="24"/>
        </w:rPr>
      </w:pPr>
    </w:p>
    <w:p w:rsidR="00056612" w:rsidRDefault="00056612" w:rsidP="00056612">
      <w:pPr>
        <w:jc w:val="center"/>
      </w:pPr>
      <w:r>
        <w:rPr>
          <w:b/>
          <w:bCs/>
          <w:sz w:val="24"/>
          <w:szCs w:val="24"/>
        </w:rPr>
        <w:t>I.</w:t>
      </w:r>
    </w:p>
    <w:p w:rsidR="00056612" w:rsidRDefault="00056612" w:rsidP="00056612">
      <w:pPr>
        <w:jc w:val="both"/>
        <w:rPr>
          <w:sz w:val="24"/>
          <w:szCs w:val="24"/>
        </w:rPr>
      </w:pPr>
      <w:r>
        <w:rPr>
          <w:sz w:val="24"/>
          <w:szCs w:val="24"/>
        </w:rPr>
        <w:t xml:space="preserve">Načelnik Općine Ližnjan – Lisignano preraspodjeljuje sredstva unutar proračunskog razdjela, programa, aktivnosti i proračunskih pozicija rashoda u posebnom dijelu Proračuna Općine Ližnjan za 2023.g. (Službene Novine Općine </w:t>
      </w:r>
      <w:proofErr w:type="spellStart"/>
      <w:r>
        <w:rPr>
          <w:sz w:val="24"/>
          <w:szCs w:val="24"/>
        </w:rPr>
        <w:t>Ližnjan-Lisignano</w:t>
      </w:r>
      <w:proofErr w:type="spellEnd"/>
      <w:r>
        <w:rPr>
          <w:sz w:val="24"/>
          <w:szCs w:val="24"/>
        </w:rPr>
        <w:t xml:space="preserve"> 11/22).</w:t>
      </w:r>
    </w:p>
    <w:p w:rsidR="00056612" w:rsidRDefault="00056612" w:rsidP="00056612">
      <w:pPr>
        <w:jc w:val="both"/>
        <w:rPr>
          <w:sz w:val="24"/>
          <w:szCs w:val="24"/>
        </w:rPr>
      </w:pPr>
    </w:p>
    <w:p w:rsidR="00056612" w:rsidRDefault="00056612" w:rsidP="00056612">
      <w:pPr>
        <w:jc w:val="center"/>
      </w:pPr>
      <w:r>
        <w:rPr>
          <w:b/>
          <w:bCs/>
          <w:sz w:val="24"/>
          <w:szCs w:val="24"/>
        </w:rPr>
        <w:t>II.</w:t>
      </w:r>
    </w:p>
    <w:p w:rsidR="00056612" w:rsidRDefault="00056612" w:rsidP="00056612">
      <w:pPr>
        <w:jc w:val="both"/>
        <w:rPr>
          <w:sz w:val="24"/>
          <w:szCs w:val="24"/>
        </w:rPr>
      </w:pPr>
      <w:r>
        <w:rPr>
          <w:sz w:val="24"/>
          <w:szCs w:val="24"/>
        </w:rPr>
        <w:t xml:space="preserve">Sredstva iz točke I. preraspodjeljuju se na način na koji je to prikazano u tablici koje je priložena ovoj Odluci i njezin je sastavni dio. </w:t>
      </w:r>
    </w:p>
    <w:p w:rsidR="00056612" w:rsidRDefault="00056612" w:rsidP="00056612">
      <w:pPr>
        <w:jc w:val="both"/>
        <w:rPr>
          <w:b/>
          <w:sz w:val="24"/>
          <w:szCs w:val="24"/>
        </w:rPr>
      </w:pPr>
    </w:p>
    <w:p w:rsidR="00056612" w:rsidRDefault="00056612" w:rsidP="00056612">
      <w:pPr>
        <w:jc w:val="center"/>
        <w:rPr>
          <w:b/>
          <w:sz w:val="24"/>
          <w:szCs w:val="24"/>
        </w:rPr>
      </w:pPr>
      <w:r>
        <w:rPr>
          <w:b/>
          <w:sz w:val="24"/>
          <w:szCs w:val="24"/>
        </w:rPr>
        <w:t>III.</w:t>
      </w:r>
    </w:p>
    <w:p w:rsidR="00056612" w:rsidRDefault="00056612" w:rsidP="00056612">
      <w:pPr>
        <w:jc w:val="both"/>
        <w:rPr>
          <w:sz w:val="24"/>
          <w:szCs w:val="24"/>
        </w:rPr>
      </w:pPr>
      <w:r>
        <w:rPr>
          <w:sz w:val="24"/>
          <w:szCs w:val="24"/>
        </w:rPr>
        <w:t>Ova odluka je sastavni dio Proračuna Općine Ližnjan – Lisignano za 2023.godinu.</w:t>
      </w:r>
    </w:p>
    <w:p w:rsidR="00056612" w:rsidRDefault="00056612" w:rsidP="00056612">
      <w:pPr>
        <w:jc w:val="center"/>
        <w:rPr>
          <w:b/>
          <w:sz w:val="24"/>
          <w:szCs w:val="24"/>
        </w:rPr>
      </w:pPr>
    </w:p>
    <w:p w:rsidR="00056612" w:rsidRDefault="00056612" w:rsidP="00056612">
      <w:pPr>
        <w:jc w:val="center"/>
        <w:rPr>
          <w:b/>
          <w:sz w:val="24"/>
          <w:szCs w:val="24"/>
        </w:rPr>
      </w:pPr>
    </w:p>
    <w:p w:rsidR="00056612" w:rsidRDefault="00056612" w:rsidP="00056612">
      <w:pPr>
        <w:jc w:val="center"/>
        <w:rPr>
          <w:b/>
          <w:sz w:val="24"/>
          <w:szCs w:val="24"/>
        </w:rPr>
      </w:pPr>
      <w:r>
        <w:rPr>
          <w:b/>
          <w:sz w:val="24"/>
          <w:szCs w:val="24"/>
        </w:rPr>
        <w:t>IV.</w:t>
      </w:r>
    </w:p>
    <w:p w:rsidR="00056612" w:rsidRDefault="00056612" w:rsidP="00056612">
      <w:pPr>
        <w:jc w:val="both"/>
        <w:rPr>
          <w:sz w:val="24"/>
          <w:szCs w:val="24"/>
        </w:rPr>
      </w:pPr>
      <w:r>
        <w:rPr>
          <w:sz w:val="24"/>
          <w:szCs w:val="24"/>
        </w:rPr>
        <w:t xml:space="preserve">Općinski Načelnik o ovoj odluci izvještava Općinsko vijeće Općine Ližnjan- Lisignano u polugodišnjem izvještaju o izvršenju proračuna za 2023.g. </w:t>
      </w:r>
    </w:p>
    <w:p w:rsidR="00056612" w:rsidRDefault="00056612" w:rsidP="00056612">
      <w:pPr>
        <w:jc w:val="both"/>
        <w:rPr>
          <w:sz w:val="24"/>
          <w:szCs w:val="24"/>
        </w:rPr>
      </w:pPr>
    </w:p>
    <w:p w:rsidR="00056612" w:rsidRDefault="00056612" w:rsidP="00056612">
      <w:pPr>
        <w:jc w:val="center"/>
        <w:rPr>
          <w:b/>
          <w:sz w:val="24"/>
          <w:szCs w:val="24"/>
        </w:rPr>
      </w:pPr>
      <w:r>
        <w:rPr>
          <w:b/>
          <w:sz w:val="24"/>
          <w:szCs w:val="24"/>
        </w:rPr>
        <w:t>V.</w:t>
      </w:r>
    </w:p>
    <w:p w:rsidR="00056612" w:rsidRDefault="00056612" w:rsidP="00056612">
      <w:pPr>
        <w:jc w:val="center"/>
        <w:rPr>
          <w:b/>
          <w:sz w:val="24"/>
          <w:szCs w:val="24"/>
        </w:rPr>
      </w:pPr>
    </w:p>
    <w:p w:rsidR="00056612" w:rsidRDefault="00056612" w:rsidP="00056612">
      <w:pPr>
        <w:jc w:val="both"/>
        <w:rPr>
          <w:sz w:val="24"/>
          <w:szCs w:val="24"/>
        </w:rPr>
      </w:pPr>
      <w:r>
        <w:rPr>
          <w:sz w:val="24"/>
          <w:szCs w:val="24"/>
        </w:rPr>
        <w:t xml:space="preserve">Ova odluka se objavljuje  u Službenim novinama Općine </w:t>
      </w:r>
      <w:proofErr w:type="spellStart"/>
      <w:r>
        <w:rPr>
          <w:sz w:val="24"/>
          <w:szCs w:val="24"/>
        </w:rPr>
        <w:t>Ližnjan-Lisignano</w:t>
      </w:r>
      <w:proofErr w:type="spellEnd"/>
      <w:r>
        <w:rPr>
          <w:sz w:val="24"/>
          <w:szCs w:val="24"/>
        </w:rPr>
        <w:t>.</w:t>
      </w:r>
    </w:p>
    <w:p w:rsidR="00056612" w:rsidRDefault="00056612" w:rsidP="00056612">
      <w:pPr>
        <w:jc w:val="righ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56612" w:rsidRDefault="00056612" w:rsidP="00056612">
      <w:pPr>
        <w:jc w:val="right"/>
        <w:rPr>
          <w:sz w:val="24"/>
          <w:szCs w:val="24"/>
        </w:rPr>
      </w:pPr>
      <w:r>
        <w:rPr>
          <w:sz w:val="24"/>
          <w:szCs w:val="24"/>
        </w:rPr>
        <w:tab/>
        <w:t>NAČELNIK</w:t>
      </w:r>
    </w:p>
    <w:p w:rsidR="00056612" w:rsidRDefault="00056612" w:rsidP="00056612">
      <w:pPr>
        <w:jc w:val="right"/>
      </w:pPr>
      <w:r>
        <w:rPr>
          <w:sz w:val="24"/>
          <w:szCs w:val="24"/>
        </w:rPr>
        <w:t>OPĆINE LIŽNJAN-LISIGNANO</w:t>
      </w:r>
    </w:p>
    <w:p w:rsidR="00056612" w:rsidRDefault="00056612" w:rsidP="00056612">
      <w:pPr>
        <w:jc w:val="right"/>
      </w:pPr>
      <w:r>
        <w:rPr>
          <w:rFonts w:eastAsia="Calibri"/>
          <w:sz w:val="24"/>
          <w:szCs w:val="24"/>
        </w:rPr>
        <w:t xml:space="preserve">         </w:t>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r>
      <w:r>
        <w:rPr>
          <w:rFonts w:eastAsia="Calibri"/>
          <w:sz w:val="24"/>
          <w:szCs w:val="24"/>
        </w:rPr>
        <w:tab/>
        <w:t xml:space="preserve">   M</w:t>
      </w:r>
      <w:r>
        <w:rPr>
          <w:sz w:val="24"/>
          <w:szCs w:val="24"/>
        </w:rPr>
        <w:t xml:space="preserve">arko Ravnić, </w:t>
      </w:r>
      <w:proofErr w:type="spellStart"/>
      <w:r>
        <w:rPr>
          <w:sz w:val="24"/>
          <w:szCs w:val="24"/>
        </w:rPr>
        <w:t>mag.iur</w:t>
      </w:r>
      <w:proofErr w:type="spellEnd"/>
      <w:r>
        <w:rPr>
          <w:sz w:val="24"/>
          <w:szCs w:val="24"/>
        </w:rPr>
        <w:t>.</w:t>
      </w: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Pr>
        <w:jc w:val="right"/>
        <w:rPr>
          <w:sz w:val="24"/>
          <w:szCs w:val="24"/>
        </w:rPr>
      </w:pPr>
    </w:p>
    <w:p w:rsidR="00056612" w:rsidRDefault="00056612" w:rsidP="00056612"/>
    <w:p w:rsidR="00056612" w:rsidRDefault="00056612" w:rsidP="00056612">
      <w:pPr>
        <w:rPr>
          <w:b/>
          <w:sz w:val="24"/>
          <w:szCs w:val="24"/>
        </w:rPr>
      </w:pPr>
    </w:p>
    <w:p w:rsidR="00056612" w:rsidRDefault="00056612" w:rsidP="00056612">
      <w:pPr>
        <w:jc w:val="center"/>
        <w:rPr>
          <w:b/>
          <w:sz w:val="24"/>
          <w:szCs w:val="24"/>
        </w:rPr>
      </w:pPr>
    </w:p>
    <w:p w:rsidR="00056612" w:rsidRDefault="00056612" w:rsidP="00056612">
      <w:pPr>
        <w:jc w:val="center"/>
        <w:rPr>
          <w:b/>
          <w:sz w:val="24"/>
          <w:szCs w:val="24"/>
        </w:rPr>
      </w:pPr>
      <w:r>
        <w:rPr>
          <w:b/>
          <w:sz w:val="24"/>
          <w:szCs w:val="24"/>
        </w:rPr>
        <w:lastRenderedPageBreak/>
        <w:t xml:space="preserve">Obrazloženje Odluke </w:t>
      </w:r>
    </w:p>
    <w:p w:rsidR="00056612" w:rsidRDefault="00056612" w:rsidP="00056612">
      <w:pPr>
        <w:jc w:val="center"/>
        <w:rPr>
          <w:b/>
          <w:sz w:val="24"/>
          <w:szCs w:val="24"/>
        </w:rPr>
      </w:pPr>
      <w:r>
        <w:rPr>
          <w:b/>
          <w:sz w:val="24"/>
          <w:szCs w:val="24"/>
        </w:rPr>
        <w:t>o drugoj preraspodjeli sredstava planiranih u Proračunu</w:t>
      </w:r>
    </w:p>
    <w:p w:rsidR="00056612" w:rsidRDefault="00056612" w:rsidP="00056612">
      <w:pPr>
        <w:jc w:val="center"/>
        <w:rPr>
          <w:b/>
          <w:sz w:val="24"/>
          <w:szCs w:val="24"/>
        </w:rPr>
      </w:pPr>
      <w:r>
        <w:rPr>
          <w:b/>
          <w:sz w:val="24"/>
          <w:szCs w:val="24"/>
        </w:rPr>
        <w:t xml:space="preserve"> Općine Ližnjan – Lisignano za 2023. godinu</w:t>
      </w:r>
    </w:p>
    <w:p w:rsidR="00056612" w:rsidRDefault="00056612" w:rsidP="00056612">
      <w:pPr>
        <w:jc w:val="center"/>
        <w:rPr>
          <w:b/>
          <w:sz w:val="24"/>
          <w:szCs w:val="24"/>
        </w:rPr>
      </w:pPr>
    </w:p>
    <w:p w:rsidR="00056612" w:rsidRDefault="00056612" w:rsidP="00056612">
      <w:pPr>
        <w:jc w:val="both"/>
        <w:rPr>
          <w:sz w:val="24"/>
          <w:szCs w:val="24"/>
        </w:rPr>
      </w:pPr>
      <w:r>
        <w:rPr>
          <w:sz w:val="24"/>
          <w:szCs w:val="24"/>
        </w:rPr>
        <w:t xml:space="preserve">Sukladno  Zakonu o proračunu te odredbama  članka 6. Odluke o izvršenju proračuna Općine </w:t>
      </w:r>
      <w:proofErr w:type="spellStart"/>
      <w:r>
        <w:rPr>
          <w:sz w:val="24"/>
          <w:szCs w:val="24"/>
        </w:rPr>
        <w:t>Ližnjan-Lisignano</w:t>
      </w:r>
      <w:proofErr w:type="spellEnd"/>
      <w:r>
        <w:rPr>
          <w:sz w:val="24"/>
          <w:szCs w:val="24"/>
        </w:rPr>
        <w:t xml:space="preserve"> za 2023. godinu proračunska sredstva se mogu koristiti samo za namjene utvrđene proračunom i do visine utvrđene u posebnom dijelu Proračuna. Iznimno od navedenog, sukladno članku  60. Zakona o proračunu i članku 14. Odluke o izvršenju proračuna Općine Ližnjan – Lisignano za 2023.g. propisani su uvjeti i način na koji se mogu preraspodijeliti proračunska sredstva za tekuću godinu. Tako je propisano da se </w:t>
      </w:r>
    </w:p>
    <w:p w:rsidR="00056612" w:rsidRDefault="00056612" w:rsidP="00056612">
      <w:pPr>
        <w:pStyle w:val="box469218"/>
        <w:shd w:val="clear" w:color="auto" w:fill="FFFFFF"/>
        <w:spacing w:before="0" w:beforeAutospacing="0" w:after="48" w:afterAutospacing="0"/>
        <w:ind w:firstLine="408"/>
        <w:jc w:val="both"/>
        <w:textAlignment w:val="baseline"/>
        <w:rPr>
          <w:color w:val="231F20"/>
        </w:rPr>
      </w:pPr>
      <w:r>
        <w:rPr>
          <w:color w:val="231F20"/>
        </w:rPr>
        <w:t xml:space="preserve">„ 1. Rashodi i izdaci proračuna mogu se preraspodijeliti najviše do pet posto na razini skupine ekonomske klasifikacije koju donosi predstavničko tijelo koja se umanjuje i to unutar izvora financiranja opći prihodi i primici i unutar izvora financiranja namjenski primici., te </w:t>
      </w:r>
    </w:p>
    <w:p w:rsidR="00056612" w:rsidRDefault="00056612" w:rsidP="00056612">
      <w:pPr>
        <w:pStyle w:val="box469218"/>
        <w:shd w:val="clear" w:color="auto" w:fill="FFFFFF"/>
        <w:spacing w:before="0" w:beforeAutospacing="0" w:after="48" w:afterAutospacing="0"/>
        <w:jc w:val="both"/>
        <w:textAlignment w:val="baseline"/>
        <w:rPr>
          <w:color w:val="231F20"/>
        </w:rPr>
      </w:pPr>
      <w:r>
        <w:rPr>
          <w:color w:val="231F20"/>
        </w:rPr>
        <w:t>„    3.  Iznimno od točke 1.  ovoga članka, sredstva učešća planirana u  proračunu za financiranje projekata koji se sufinanciraju iz sredstava Europske unije iz izvora financiranja opći prihodi i primici te sredstva za financiranje projekata koja se refundiraju iz pomoći Europske unije mogu se preraspodjeljivati:</w:t>
      </w:r>
    </w:p>
    <w:p w:rsidR="00056612" w:rsidRDefault="00056612" w:rsidP="00056612">
      <w:pPr>
        <w:pStyle w:val="box469218"/>
        <w:shd w:val="clear" w:color="auto" w:fill="FFFFFF"/>
        <w:spacing w:before="0" w:beforeAutospacing="0" w:after="48" w:afterAutospacing="0"/>
        <w:ind w:firstLine="408"/>
        <w:jc w:val="both"/>
        <w:textAlignment w:val="baseline"/>
        <w:rPr>
          <w:color w:val="231F20"/>
        </w:rPr>
      </w:pPr>
      <w:r>
        <w:rPr>
          <w:color w:val="231F20"/>
        </w:rPr>
        <w:t>– bez ograničenja unutar istog razdjela organizacijske klasifikacije</w:t>
      </w:r>
    </w:p>
    <w:p w:rsidR="00056612" w:rsidRDefault="00056612" w:rsidP="00056612">
      <w:pPr>
        <w:pStyle w:val="box469218"/>
        <w:shd w:val="clear" w:color="auto" w:fill="FFFFFF"/>
        <w:spacing w:before="0" w:beforeAutospacing="0" w:after="48" w:afterAutospacing="0"/>
        <w:ind w:firstLine="408"/>
        <w:jc w:val="both"/>
        <w:textAlignment w:val="baseline"/>
        <w:rPr>
          <w:color w:val="231F20"/>
        </w:rPr>
      </w:pPr>
      <w:r>
        <w:rPr>
          <w:color w:val="231F20"/>
        </w:rPr>
        <w:t>– najviše do 15 posto između projekata različitih razdjela organizacijske klasifikacije….“</w:t>
      </w:r>
    </w:p>
    <w:p w:rsidR="00056612" w:rsidRDefault="00056612" w:rsidP="00056612">
      <w:pPr>
        <w:autoSpaceDE w:val="0"/>
        <w:adjustRightInd w:val="0"/>
        <w:spacing w:after="120"/>
        <w:jc w:val="both"/>
        <w:rPr>
          <w:color w:val="231F20"/>
          <w:sz w:val="24"/>
          <w:szCs w:val="24"/>
        </w:rPr>
      </w:pPr>
      <w:r>
        <w:rPr>
          <w:color w:val="231F20"/>
          <w:sz w:val="24"/>
          <w:szCs w:val="24"/>
        </w:rPr>
        <w:t xml:space="preserve">Općina je prema dostavljenom novom, izmijenjenom troškovniku za projekt  izgradnje „Uređenje ribarske staze u uvali Kuje na </w:t>
      </w:r>
      <w:proofErr w:type="spellStart"/>
      <w:r>
        <w:rPr>
          <w:color w:val="231F20"/>
          <w:sz w:val="24"/>
          <w:szCs w:val="24"/>
        </w:rPr>
        <w:t>kč</w:t>
      </w:r>
      <w:proofErr w:type="spellEnd"/>
      <w:r>
        <w:rPr>
          <w:color w:val="231F20"/>
          <w:sz w:val="24"/>
          <w:szCs w:val="24"/>
        </w:rPr>
        <w:t xml:space="preserve"> 308/1 k.o. Ližnjan“  Klasa:360-01/21-01/2 </w:t>
      </w:r>
      <w:proofErr w:type="spellStart"/>
      <w:r>
        <w:rPr>
          <w:color w:val="231F20"/>
          <w:sz w:val="24"/>
          <w:szCs w:val="24"/>
        </w:rPr>
        <w:t>Urbroj</w:t>
      </w:r>
      <w:proofErr w:type="spellEnd"/>
      <w:r>
        <w:rPr>
          <w:color w:val="231F20"/>
          <w:sz w:val="24"/>
          <w:szCs w:val="24"/>
        </w:rPr>
        <w:t xml:space="preserve"> 2163-24-01-23-4 utvrdila da su se povećali procijenjeni iznosi potrebni za realizaciju troškova građenja navedenog projekta za dodatnih 33.679 eura. Navedena dodatna sredstva  općina treba podmiriti iz vlastitih sredstava a u sklopu projekta koji se sufinancira iz Europskih fondova, Operativnog programa za pomorstvo i ribarstvo, </w:t>
      </w:r>
      <w:r>
        <w:rPr>
          <w:sz w:val="24"/>
          <w:szCs w:val="24"/>
        </w:rPr>
        <w:t xml:space="preserve">Mjera III.2./III.3. „Provedba lokalnih razvojnih strategija u ribarstvu“, putem FLAG-a </w:t>
      </w:r>
      <w:proofErr w:type="spellStart"/>
      <w:r>
        <w:rPr>
          <w:sz w:val="24"/>
          <w:szCs w:val="24"/>
        </w:rPr>
        <w:t>Lagur</w:t>
      </w:r>
      <w:proofErr w:type="spellEnd"/>
      <w:r>
        <w:rPr>
          <w:sz w:val="24"/>
          <w:szCs w:val="24"/>
        </w:rPr>
        <w:t xml:space="preserve"> Istarska </w:t>
      </w:r>
      <w:proofErr w:type="spellStart"/>
      <w:r>
        <w:rPr>
          <w:sz w:val="24"/>
          <w:szCs w:val="24"/>
        </w:rPr>
        <w:t>Batana</w:t>
      </w:r>
      <w:proofErr w:type="spellEnd"/>
      <w:r>
        <w:rPr>
          <w:sz w:val="24"/>
          <w:szCs w:val="24"/>
        </w:rPr>
        <w:t xml:space="preserve">; slijedom odobrenih sredstava potpore  iz Odluke  o dodjeli sredstava KL:324-01/22-01/34 </w:t>
      </w:r>
      <w:proofErr w:type="spellStart"/>
      <w:r>
        <w:rPr>
          <w:sz w:val="24"/>
          <w:szCs w:val="24"/>
        </w:rPr>
        <w:t>Urbroj</w:t>
      </w:r>
      <w:proofErr w:type="spellEnd"/>
      <w:r>
        <w:rPr>
          <w:sz w:val="24"/>
          <w:szCs w:val="24"/>
        </w:rPr>
        <w:t xml:space="preserve"> 525-12/757-22-2 i 525-12/757-22-4 od 26.8.2022 i 24.10.2022.g.,  kako bi se mogao provesti postupak javne nabave te </w:t>
      </w:r>
      <w:r>
        <w:rPr>
          <w:color w:val="231F20"/>
          <w:sz w:val="24"/>
          <w:szCs w:val="24"/>
        </w:rPr>
        <w:t xml:space="preserve">kako bi se na vrijeme realizirale kako izgradnja tako i brojne popratne aktivnosti predviđene navedenim projektom i unutar zadanih rokova. Budući će tek kasnijim donošenjem sveobuhvatnih Izmjena i dopuna proračuna za 2023. godinu biti moguće uvećavati proračun te rasporediti preneseni višak prihoda iz 2022.g. i eventualni tekući višak prihoda nad rashodima, ovom drugom proračunskom preraspodjelom nedostajuća sredstva su se osigurala smanjenjem  rashoda na više različitih stavki rashoda koje se financiraju iz općih prihoda u granicama propisanih ograničenja od 5% na stavci aktivnosti koja se umanjuje. Za očekivati je da su  preostali iznosi na navedenim rashodima dostatni za pokriće  rashoda do donošenja  rebalansa kada će se isti nadomjestiti prenesenim viškovima prihoda koji su poznati </w:t>
      </w:r>
      <w:r w:rsidR="00FC46B0">
        <w:rPr>
          <w:color w:val="231F20"/>
          <w:sz w:val="24"/>
          <w:szCs w:val="24"/>
        </w:rPr>
        <w:t xml:space="preserve">slijedom </w:t>
      </w:r>
      <w:r w:rsidR="00782B2E">
        <w:rPr>
          <w:color w:val="231F20"/>
          <w:sz w:val="24"/>
          <w:szCs w:val="24"/>
        </w:rPr>
        <w:t xml:space="preserve">sastavljenih </w:t>
      </w:r>
      <w:r>
        <w:rPr>
          <w:color w:val="231F20"/>
          <w:sz w:val="24"/>
          <w:szCs w:val="24"/>
        </w:rPr>
        <w:t xml:space="preserve"> godišnji</w:t>
      </w:r>
      <w:r w:rsidR="00782B2E">
        <w:rPr>
          <w:color w:val="231F20"/>
          <w:sz w:val="24"/>
          <w:szCs w:val="24"/>
        </w:rPr>
        <w:t>h</w:t>
      </w:r>
      <w:r>
        <w:rPr>
          <w:color w:val="231F20"/>
          <w:sz w:val="24"/>
          <w:szCs w:val="24"/>
        </w:rPr>
        <w:t xml:space="preserve"> financijski</w:t>
      </w:r>
      <w:r w:rsidR="00782B2E">
        <w:rPr>
          <w:color w:val="231F20"/>
          <w:sz w:val="24"/>
          <w:szCs w:val="24"/>
        </w:rPr>
        <w:t>h</w:t>
      </w:r>
      <w:r>
        <w:rPr>
          <w:color w:val="231F20"/>
          <w:sz w:val="24"/>
          <w:szCs w:val="24"/>
        </w:rPr>
        <w:t xml:space="preserve"> izviješć</w:t>
      </w:r>
      <w:r w:rsidR="00782B2E">
        <w:rPr>
          <w:color w:val="231F20"/>
          <w:sz w:val="24"/>
          <w:szCs w:val="24"/>
        </w:rPr>
        <w:t>a</w:t>
      </w:r>
      <w:r>
        <w:rPr>
          <w:color w:val="231F20"/>
          <w:sz w:val="24"/>
          <w:szCs w:val="24"/>
        </w:rPr>
        <w:t xml:space="preserve"> za 2022.godinu, te se </w:t>
      </w:r>
      <w:r>
        <w:rPr>
          <w:sz w:val="24"/>
          <w:szCs w:val="24"/>
        </w:rPr>
        <w:t>umanjuju se planirana sredstva na pozicijama rashoda  u posebnom dijelu  proračuna, a za koje je procijenjeno da umanjenje neće imati utjecaja na izvršenje svih planiranih aktivnosti. Umanjenja su izvršena prema detaljnoj  tablici posebnog dijela pro</w:t>
      </w:r>
      <w:r w:rsidR="00986811">
        <w:rPr>
          <w:sz w:val="24"/>
          <w:szCs w:val="24"/>
        </w:rPr>
        <w:t>r</w:t>
      </w:r>
      <w:r>
        <w:rPr>
          <w:sz w:val="24"/>
          <w:szCs w:val="24"/>
        </w:rPr>
        <w:t xml:space="preserve">ačuna danoj u prilogu Odluke. </w:t>
      </w:r>
    </w:p>
    <w:p w:rsidR="00056612" w:rsidRDefault="00056612" w:rsidP="00056612">
      <w:pPr>
        <w:spacing w:after="120"/>
        <w:jc w:val="both"/>
        <w:rPr>
          <w:sz w:val="24"/>
          <w:szCs w:val="24"/>
        </w:rPr>
      </w:pPr>
      <w:r>
        <w:rPr>
          <w:sz w:val="24"/>
          <w:szCs w:val="24"/>
        </w:rPr>
        <w:t>Ukupni iznos rashoda i izdataka planiranih u Proračunu za 2023.g. ovom drugom preraspodjelom se ne mijenja.</w:t>
      </w:r>
    </w:p>
    <w:p w:rsidR="00056612" w:rsidRDefault="00056612" w:rsidP="00056612">
      <w:pPr>
        <w:autoSpaceDE w:val="0"/>
        <w:jc w:val="both"/>
        <w:rPr>
          <w:i/>
          <w:iCs/>
          <w:sz w:val="24"/>
          <w:szCs w:val="24"/>
        </w:rPr>
      </w:pPr>
    </w:p>
    <w:p w:rsidR="00056612" w:rsidRDefault="00056612" w:rsidP="00056612">
      <w:pPr>
        <w:autoSpaceDE w:val="0"/>
        <w:jc w:val="both"/>
        <w:rPr>
          <w:sz w:val="24"/>
          <w:szCs w:val="24"/>
        </w:rPr>
      </w:pPr>
    </w:p>
    <w:p w:rsidR="00056612" w:rsidRDefault="00056612" w:rsidP="00056612">
      <w:pPr>
        <w:autoSpaceDE w:val="0"/>
        <w:jc w:val="both"/>
        <w:rPr>
          <w:sz w:val="24"/>
          <w:szCs w:val="24"/>
        </w:rPr>
      </w:pPr>
      <w:r>
        <w:rPr>
          <w:sz w:val="24"/>
          <w:szCs w:val="24"/>
        </w:rPr>
        <w:t xml:space="preserve">U Ližnjanu, 3. svibnja  2023.g. </w:t>
      </w:r>
    </w:p>
    <w:p w:rsidR="00056612" w:rsidRDefault="00056612" w:rsidP="00056612">
      <w:pPr>
        <w:jc w:val="both"/>
        <w:rPr>
          <w:sz w:val="24"/>
          <w:szCs w:val="24"/>
        </w:rPr>
      </w:pPr>
      <w:r>
        <w:rPr>
          <w:sz w:val="24"/>
          <w:szCs w:val="24"/>
        </w:rPr>
        <w:t> </w:t>
      </w:r>
    </w:p>
    <w:p w:rsidR="00056612" w:rsidRDefault="00056612" w:rsidP="00056612">
      <w:pPr>
        <w:jc w:val="both"/>
        <w:rPr>
          <w:sz w:val="24"/>
          <w:szCs w:val="24"/>
        </w:rPr>
      </w:pPr>
    </w:p>
    <w:p w:rsidR="00417321" w:rsidRPr="00056612" w:rsidRDefault="00417321" w:rsidP="00056612"/>
    <w:sectPr w:rsidR="00417321" w:rsidRPr="00056612">
      <w:headerReference w:type="default" r:id="rId9"/>
      <w:footerReference w:type="default" r:id="rId10"/>
      <w:pgSz w:w="11907" w:h="16840"/>
      <w:pgMar w:top="851"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A16DC" w:rsidRDefault="003A16DC">
      <w:r>
        <w:separator/>
      </w:r>
    </w:p>
  </w:endnote>
  <w:endnote w:type="continuationSeparator" w:id="0">
    <w:p w:rsidR="003A16DC" w:rsidRDefault="003A1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105D" w:rsidRDefault="000F105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A16DC" w:rsidRDefault="003A16DC">
      <w:r>
        <w:rPr>
          <w:color w:val="000000"/>
        </w:rPr>
        <w:separator/>
      </w:r>
    </w:p>
  </w:footnote>
  <w:footnote w:type="continuationSeparator" w:id="0">
    <w:p w:rsidR="003A16DC" w:rsidRDefault="003A16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105D" w:rsidRDefault="000F105D">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04BC"/>
    <w:multiLevelType w:val="multilevel"/>
    <w:tmpl w:val="7A520F54"/>
    <w:styleLink w:val="WWNum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2D32269"/>
    <w:multiLevelType w:val="multilevel"/>
    <w:tmpl w:val="A43638C6"/>
    <w:styleLink w:val="NoList1"/>
    <w:lvl w:ilvl="0">
      <w:start w:val="1"/>
      <w:numFmt w:val="none"/>
      <w:lvlText w:val="%1."/>
      <w:lvlJc w:val="left"/>
      <w:pPr>
        <w:ind w:left="720" w:hanging="360"/>
      </w:pPr>
      <w:rPr>
        <w:rFonts w:cs="Times New Roman"/>
      </w:rPr>
    </w:lvl>
    <w:lvl w:ilvl="1">
      <w:start w:val="1"/>
      <w:numFmt w:val="none"/>
      <w:lvlText w:val="%2."/>
      <w:lvlJc w:val="left"/>
      <w:pPr>
        <w:ind w:left="1080" w:hanging="360"/>
      </w:pPr>
      <w:rPr>
        <w:rFonts w:cs="Times New Roman"/>
      </w:rPr>
    </w:lvl>
    <w:lvl w:ilvl="2">
      <w:start w:val="1"/>
      <w:numFmt w:val="none"/>
      <w:lvlText w:val="%3."/>
      <w:lvlJc w:val="left"/>
      <w:pPr>
        <w:ind w:left="1440" w:hanging="360"/>
      </w:pPr>
      <w:rPr>
        <w:rFonts w:cs="Times New Roman"/>
      </w:rPr>
    </w:lvl>
    <w:lvl w:ilvl="3">
      <w:start w:val="1"/>
      <w:numFmt w:val="none"/>
      <w:lvlText w:val="%4."/>
      <w:lvlJc w:val="left"/>
      <w:pPr>
        <w:ind w:left="1800" w:hanging="360"/>
      </w:pPr>
      <w:rPr>
        <w:rFonts w:cs="Times New Roman"/>
      </w:rPr>
    </w:lvl>
    <w:lvl w:ilvl="4">
      <w:start w:val="1"/>
      <w:numFmt w:val="none"/>
      <w:lvlText w:val="%5."/>
      <w:lvlJc w:val="left"/>
      <w:pPr>
        <w:ind w:left="2160" w:hanging="360"/>
      </w:pPr>
      <w:rPr>
        <w:rFonts w:cs="Times New Roman"/>
      </w:rPr>
    </w:lvl>
    <w:lvl w:ilvl="5">
      <w:start w:val="1"/>
      <w:numFmt w:val="none"/>
      <w:lvlText w:val="%6."/>
      <w:lvlJc w:val="left"/>
      <w:pPr>
        <w:ind w:left="2520" w:hanging="360"/>
      </w:pPr>
      <w:rPr>
        <w:rFonts w:cs="Times New Roman"/>
      </w:rPr>
    </w:lvl>
    <w:lvl w:ilvl="6">
      <w:start w:val="1"/>
      <w:numFmt w:val="none"/>
      <w:lvlText w:val="%7."/>
      <w:lvlJc w:val="left"/>
      <w:pPr>
        <w:ind w:left="2880" w:hanging="360"/>
      </w:pPr>
      <w:rPr>
        <w:rFonts w:cs="Times New Roman"/>
      </w:rPr>
    </w:lvl>
    <w:lvl w:ilvl="7">
      <w:start w:val="1"/>
      <w:numFmt w:val="none"/>
      <w:lvlText w:val="%8."/>
      <w:lvlJc w:val="left"/>
      <w:pPr>
        <w:ind w:left="3240" w:hanging="360"/>
      </w:pPr>
      <w:rPr>
        <w:rFonts w:cs="Times New Roman"/>
      </w:rPr>
    </w:lvl>
    <w:lvl w:ilvl="8">
      <w:start w:val="1"/>
      <w:numFmt w:val="none"/>
      <w:lvlText w:val="%9."/>
      <w:lvlJc w:val="left"/>
      <w:pPr>
        <w:ind w:left="3600" w:hanging="360"/>
      </w:pPr>
      <w:rPr>
        <w:rFonts w:cs="Times New Roman"/>
      </w:rPr>
    </w:lvl>
  </w:abstractNum>
  <w:abstractNum w:abstractNumId="2" w15:restartNumberingAfterBreak="0">
    <w:nsid w:val="29CE7579"/>
    <w:multiLevelType w:val="multilevel"/>
    <w:tmpl w:val="C4CC70DE"/>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 w15:restartNumberingAfterBreak="0">
    <w:nsid w:val="35B7698C"/>
    <w:multiLevelType w:val="multilevel"/>
    <w:tmpl w:val="BB8EAA92"/>
    <w:styleLink w:val="WWNum1"/>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41231D8D"/>
    <w:multiLevelType w:val="multilevel"/>
    <w:tmpl w:val="D190292A"/>
    <w:styleLink w:val="WWNum3"/>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50326078"/>
    <w:multiLevelType w:val="multilevel"/>
    <w:tmpl w:val="48182FB2"/>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600573511">
    <w:abstractNumId w:val="1"/>
  </w:num>
  <w:num w:numId="2" w16cid:durableId="412632334">
    <w:abstractNumId w:val="3"/>
  </w:num>
  <w:num w:numId="3" w16cid:durableId="371808451">
    <w:abstractNumId w:val="0"/>
  </w:num>
  <w:num w:numId="4" w16cid:durableId="471561119">
    <w:abstractNumId w:val="4"/>
  </w:num>
  <w:num w:numId="5" w16cid:durableId="983848435">
    <w:abstractNumId w:val="5"/>
  </w:num>
  <w:num w:numId="6" w16cid:durableId="1317757797">
    <w:abstractNumId w:val="2"/>
  </w:num>
  <w:num w:numId="7" w16cid:durableId="71342730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A0"/>
    <w:rsid w:val="00000A21"/>
    <w:rsid w:val="00026A06"/>
    <w:rsid w:val="00056612"/>
    <w:rsid w:val="000802CA"/>
    <w:rsid w:val="000E0B19"/>
    <w:rsid w:val="000F0341"/>
    <w:rsid w:val="000F105D"/>
    <w:rsid w:val="001A7C0D"/>
    <w:rsid w:val="00244BC2"/>
    <w:rsid w:val="00276829"/>
    <w:rsid w:val="0029654E"/>
    <w:rsid w:val="002A3A58"/>
    <w:rsid w:val="002E5720"/>
    <w:rsid w:val="003225C2"/>
    <w:rsid w:val="00360806"/>
    <w:rsid w:val="003A16DC"/>
    <w:rsid w:val="003D0074"/>
    <w:rsid w:val="003D54D1"/>
    <w:rsid w:val="00417321"/>
    <w:rsid w:val="0050407C"/>
    <w:rsid w:val="005216DC"/>
    <w:rsid w:val="00557359"/>
    <w:rsid w:val="005862C6"/>
    <w:rsid w:val="005A1033"/>
    <w:rsid w:val="00644C0F"/>
    <w:rsid w:val="006D6049"/>
    <w:rsid w:val="006E37EB"/>
    <w:rsid w:val="006E437D"/>
    <w:rsid w:val="00737D6A"/>
    <w:rsid w:val="0074633A"/>
    <w:rsid w:val="00782B2E"/>
    <w:rsid w:val="007E37E8"/>
    <w:rsid w:val="00827FB5"/>
    <w:rsid w:val="00832C32"/>
    <w:rsid w:val="00892672"/>
    <w:rsid w:val="008A23B8"/>
    <w:rsid w:val="008F1E6C"/>
    <w:rsid w:val="009242E2"/>
    <w:rsid w:val="00986811"/>
    <w:rsid w:val="00A37B41"/>
    <w:rsid w:val="00AC5FFF"/>
    <w:rsid w:val="00AD0D68"/>
    <w:rsid w:val="00B8536D"/>
    <w:rsid w:val="00C305B2"/>
    <w:rsid w:val="00CB511B"/>
    <w:rsid w:val="00CD12C1"/>
    <w:rsid w:val="00D21D32"/>
    <w:rsid w:val="00E61F8A"/>
    <w:rsid w:val="00E76EA8"/>
    <w:rsid w:val="00EA4CA0"/>
    <w:rsid w:val="00ED7590"/>
    <w:rsid w:val="00EF4958"/>
    <w:rsid w:val="00F2649A"/>
    <w:rsid w:val="00FA0CC2"/>
    <w:rsid w:val="00FC46B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36FA2F78"/>
  <w14:defaultImageDpi w14:val="0"/>
  <w15:docId w15:val="{47503999-0B10-451D-846E-355419B0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N w:val="0"/>
      <w:textAlignment w:val="baseline"/>
    </w:pPr>
    <w:rPr>
      <w:kern w:val="3"/>
    </w:rPr>
  </w:style>
  <w:style w:type="paragraph" w:styleId="Naslov1">
    <w:name w:val="heading 1"/>
    <w:basedOn w:val="Standard"/>
    <w:next w:val="Standard"/>
    <w:link w:val="Naslov1Char"/>
    <w:uiPriority w:val="9"/>
    <w:qFormat/>
    <w:pPr>
      <w:keepNext/>
      <w:outlineLvl w:val="0"/>
    </w:pPr>
    <w:rPr>
      <w:b/>
      <w:sz w:val="24"/>
    </w:rPr>
  </w:style>
  <w:style w:type="paragraph" w:styleId="Naslov2">
    <w:name w:val="heading 2"/>
    <w:basedOn w:val="Standard"/>
    <w:next w:val="Standard"/>
    <w:link w:val="Naslov2Char"/>
    <w:uiPriority w:val="9"/>
    <w:semiHidden/>
    <w:unhideWhenUsed/>
    <w:qFormat/>
    <w:pPr>
      <w:keepNext/>
      <w:spacing w:line="360" w:lineRule="auto"/>
      <w:outlineLvl w:val="1"/>
    </w:pPr>
    <w:rPr>
      <w:i/>
      <w:sz w:val="24"/>
    </w:rPr>
  </w:style>
  <w:style w:type="paragraph" w:styleId="Naslov3">
    <w:name w:val="heading 3"/>
    <w:basedOn w:val="Standard"/>
    <w:next w:val="Standard"/>
    <w:link w:val="Naslov3Char"/>
    <w:uiPriority w:val="9"/>
    <w:semiHidden/>
    <w:unhideWhenUsed/>
    <w:qFormat/>
    <w:pPr>
      <w:keepNext/>
      <w:ind w:firstLine="720"/>
      <w:outlineLvl w:val="2"/>
    </w:pPr>
    <w:rPr>
      <w:b/>
      <w:sz w:val="24"/>
    </w:rPr>
  </w:style>
  <w:style w:type="paragraph" w:styleId="Naslov4">
    <w:name w:val="heading 4"/>
    <w:basedOn w:val="Standard"/>
    <w:next w:val="Standard"/>
    <w:link w:val="Naslov4Char"/>
    <w:uiPriority w:val="9"/>
    <w:semiHidden/>
    <w:unhideWhenUsed/>
    <w:qFormat/>
    <w:pPr>
      <w:keepNext/>
      <w:outlineLvl w:val="3"/>
    </w:pPr>
    <w:rPr>
      <w:i/>
      <w:color w:val="0000FF"/>
      <w:sz w:val="24"/>
      <w:szCs w:val="24"/>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Pr>
      <w:rFonts w:ascii="Calibri Light" w:eastAsia="Times New Roman" w:hAnsi="Calibri Light" w:cs="Times New Roman"/>
      <w:b/>
      <w:bCs/>
      <w:kern w:val="32"/>
      <w:sz w:val="32"/>
      <w:szCs w:val="32"/>
    </w:rPr>
  </w:style>
  <w:style w:type="character" w:customStyle="1" w:styleId="Naslov2Char">
    <w:name w:val="Naslov 2 Char"/>
    <w:link w:val="Naslov2"/>
    <w:uiPriority w:val="9"/>
    <w:semiHidden/>
    <w:rPr>
      <w:rFonts w:ascii="Calibri Light" w:eastAsia="Times New Roman" w:hAnsi="Calibri Light" w:cs="Times New Roman"/>
      <w:b/>
      <w:bCs/>
      <w:i/>
      <w:iCs/>
      <w:kern w:val="3"/>
      <w:sz w:val="28"/>
      <w:szCs w:val="28"/>
    </w:rPr>
  </w:style>
  <w:style w:type="character" w:customStyle="1" w:styleId="Naslov3Char">
    <w:name w:val="Naslov 3 Char"/>
    <w:link w:val="Naslov3"/>
    <w:uiPriority w:val="9"/>
    <w:semiHidden/>
    <w:rPr>
      <w:rFonts w:ascii="Calibri Light" w:eastAsia="Times New Roman" w:hAnsi="Calibri Light" w:cs="Times New Roman"/>
      <w:b/>
      <w:bCs/>
      <w:kern w:val="3"/>
      <w:sz w:val="26"/>
      <w:szCs w:val="26"/>
    </w:rPr>
  </w:style>
  <w:style w:type="character" w:customStyle="1" w:styleId="Naslov4Char">
    <w:name w:val="Naslov 4 Char"/>
    <w:link w:val="Naslov4"/>
    <w:uiPriority w:val="9"/>
    <w:semiHidden/>
    <w:rPr>
      <w:rFonts w:ascii="Calibri" w:eastAsia="Times New Roman" w:hAnsi="Calibri" w:cs="Times New Roman"/>
      <w:b/>
      <w:bCs/>
      <w:kern w:val="3"/>
      <w:sz w:val="28"/>
      <w:szCs w:val="28"/>
    </w:rPr>
  </w:style>
  <w:style w:type="paragraph" w:customStyle="1" w:styleId="Standard">
    <w:name w:val="Standard"/>
    <w:pPr>
      <w:suppressAutoHyphens/>
      <w:autoSpaceDN w:val="0"/>
      <w:textAlignment w:val="baseline"/>
    </w:pPr>
    <w:rPr>
      <w:kern w:val="3"/>
      <w:lang w:val="en-AU"/>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Popis">
    <w:name w:val="List"/>
    <w:basedOn w:val="Textbody"/>
    <w:uiPriority w:val="99"/>
    <w:rPr>
      <w:rFonts w:cs="Mangal"/>
      <w:sz w:val="24"/>
    </w:rPr>
  </w:style>
  <w:style w:type="paragraph" w:styleId="Opisslike">
    <w:name w:val="caption"/>
    <w:basedOn w:val="Standard"/>
    <w:uiPriority w:val="35"/>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customStyle="1" w:styleId="HeaderandFooter">
    <w:name w:val="Header and Footer"/>
    <w:basedOn w:val="Standard"/>
    <w:pPr>
      <w:suppressLineNumbers/>
      <w:tabs>
        <w:tab w:val="center" w:pos="4819"/>
        <w:tab w:val="right" w:pos="9638"/>
      </w:tabs>
    </w:pPr>
  </w:style>
  <w:style w:type="paragraph" w:styleId="Zaglavlje">
    <w:name w:val="header"/>
    <w:basedOn w:val="Standard"/>
    <w:link w:val="ZaglavljeChar"/>
    <w:uiPriority w:val="99"/>
    <w:pPr>
      <w:tabs>
        <w:tab w:val="center" w:pos="4153"/>
        <w:tab w:val="right" w:pos="8306"/>
      </w:tabs>
    </w:pPr>
  </w:style>
  <w:style w:type="character" w:customStyle="1" w:styleId="ZaglavljeChar">
    <w:name w:val="Zaglavlje Char"/>
    <w:link w:val="Zaglavlje"/>
    <w:uiPriority w:val="99"/>
    <w:semiHidden/>
    <w:rPr>
      <w:kern w:val="3"/>
    </w:rPr>
  </w:style>
  <w:style w:type="paragraph" w:styleId="Podnoje">
    <w:name w:val="footer"/>
    <w:basedOn w:val="Standard"/>
    <w:link w:val="PodnojeChar"/>
    <w:uiPriority w:val="99"/>
    <w:pPr>
      <w:tabs>
        <w:tab w:val="center" w:pos="4536"/>
        <w:tab w:val="right" w:pos="9072"/>
      </w:tabs>
    </w:pPr>
  </w:style>
  <w:style w:type="character" w:customStyle="1" w:styleId="PodnojeChar">
    <w:name w:val="Podnožje Char"/>
    <w:link w:val="Podnoje"/>
    <w:uiPriority w:val="99"/>
    <w:semiHidden/>
    <w:rPr>
      <w:kern w:val="3"/>
    </w:rPr>
  </w:style>
  <w:style w:type="paragraph" w:customStyle="1" w:styleId="NoSpacing1">
    <w:name w:val="No Spacing1"/>
    <w:pPr>
      <w:autoSpaceDN w:val="0"/>
      <w:textAlignment w:val="baseline"/>
    </w:pPr>
    <w:rPr>
      <w:rFonts w:ascii="Calibri" w:hAnsi="Calibri" w:cs="Calibri"/>
      <w:sz w:val="22"/>
      <w:szCs w:val="22"/>
    </w:rPr>
  </w:style>
  <w:style w:type="character" w:customStyle="1" w:styleId="Internetlink">
    <w:name w:val="Internet link"/>
    <w:rPr>
      <w:color w:val="0000FF"/>
      <w:u w:val="single"/>
    </w:rPr>
  </w:style>
  <w:style w:type="character" w:customStyle="1" w:styleId="NoSpacingChar">
    <w:name w:val="No Spacing Char"/>
    <w:rPr>
      <w:rFonts w:ascii="Calibri" w:eastAsia="Times New Roman" w:hAnsi="Calibri"/>
      <w:kern w:val="0"/>
      <w:sz w:val="22"/>
    </w:rPr>
  </w:style>
  <w:style w:type="numbering" w:customStyle="1" w:styleId="WWNum2">
    <w:name w:val="WWNum2"/>
    <w:pPr>
      <w:numPr>
        <w:numId w:val="3"/>
      </w:numPr>
    </w:pPr>
  </w:style>
  <w:style w:type="numbering" w:customStyle="1" w:styleId="NoList1">
    <w:name w:val="No List1"/>
    <w:pPr>
      <w:numPr>
        <w:numId w:val="1"/>
      </w:numPr>
    </w:pPr>
  </w:style>
  <w:style w:type="numbering" w:customStyle="1" w:styleId="WWNum1">
    <w:name w:val="WWNum1"/>
    <w:pPr>
      <w:numPr>
        <w:numId w:val="2"/>
      </w:numPr>
    </w:pPr>
  </w:style>
  <w:style w:type="numbering" w:customStyle="1" w:styleId="WWNum3">
    <w:name w:val="WWNum3"/>
    <w:pPr>
      <w:numPr>
        <w:numId w:val="4"/>
      </w:numPr>
    </w:pPr>
  </w:style>
  <w:style w:type="numbering" w:customStyle="1" w:styleId="WWNum4">
    <w:name w:val="WWNum4"/>
    <w:pPr>
      <w:numPr>
        <w:numId w:val="5"/>
      </w:numPr>
    </w:pPr>
  </w:style>
  <w:style w:type="paragraph" w:customStyle="1" w:styleId="box469218">
    <w:name w:val="box_469218"/>
    <w:basedOn w:val="Normal"/>
    <w:rsid w:val="00E61F8A"/>
    <w:pPr>
      <w:widowControl/>
      <w:suppressAutoHyphens w:val="0"/>
      <w:autoSpaceDN/>
      <w:spacing w:before="100" w:beforeAutospacing="1" w:after="100" w:afterAutospacing="1"/>
      <w:textAlignment w:val="auto"/>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9112327">
      <w:bodyDiv w:val="1"/>
      <w:marLeft w:val="0"/>
      <w:marRight w:val="0"/>
      <w:marTop w:val="0"/>
      <w:marBottom w:val="0"/>
      <w:divBdr>
        <w:top w:val="none" w:sz="0" w:space="0" w:color="auto"/>
        <w:left w:val="none" w:sz="0" w:space="0" w:color="auto"/>
        <w:bottom w:val="none" w:sz="0" w:space="0" w:color="auto"/>
        <w:right w:val="none" w:sz="0" w:space="0" w:color="auto"/>
      </w:divBdr>
    </w:div>
    <w:div w:id="10545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659</Words>
  <Characters>4258</Characters>
  <Application>Microsoft Office Word</Application>
  <DocSecurity>0</DocSecurity>
  <Lines>35</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Generički template</vt:lpstr>
      <vt:lpstr>Generički template</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Generički template</dc:title>
  <dc:subject/>
  <dc:creator>Branimir Maslač</dc:creator>
  <cp:keywords/>
  <dc:description/>
  <cp:lastModifiedBy>Danijela Lamot</cp:lastModifiedBy>
  <cp:revision>12</cp:revision>
  <cp:lastPrinted>2023-05-03T13:13:00Z</cp:lastPrinted>
  <dcterms:created xsi:type="dcterms:W3CDTF">2023-05-03T12:32:00Z</dcterms:created>
  <dcterms:modified xsi:type="dcterms:W3CDTF">2023-05-03T13:16:00Z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NetCom d.o.o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